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4125" w:rsidRPr="00754125" w:rsidRDefault="00754125" w:rsidP="00E57CB2">
      <w:pPr>
        <w:snapToGrid w:val="0"/>
        <w:ind w:firstLine="1128"/>
        <w:jc w:val="both"/>
        <w:rPr>
          <w:rFonts w:ascii="Times New Roman" w:hAnsi="Times New Roman"/>
          <w:i/>
          <w:iCs/>
        </w:rPr>
      </w:pPr>
      <w:r w:rsidRPr="00754125">
        <w:rPr>
          <w:rFonts w:ascii="Times New Roman" w:hAnsi="Times New Roman" w:cs="Times New Roman"/>
          <w:i/>
          <w:iCs/>
        </w:rPr>
        <w:t xml:space="preserve">Deux personnalités qui ont profondément transformé le monde agricole jurassien </w:t>
      </w:r>
    </w:p>
    <w:p w:rsidR="007D1B45" w:rsidRDefault="007D1B45" w:rsidP="007D1B45">
      <w:pPr>
        <w:snapToGrid w:val="0"/>
        <w:ind w:firstLine="1130"/>
        <w:jc w:val="both"/>
        <w:rPr>
          <w:rFonts w:ascii="Times New Roman" w:hAnsi="Times New Roman" w:cs="Times New Roman"/>
          <w:sz w:val="28"/>
          <w:szCs w:val="28"/>
        </w:rPr>
      </w:pPr>
      <w:r>
        <w:rPr>
          <w:rFonts w:ascii="Times New Roman" w:hAnsi="Times New Roman" w:cs="Times New Roman"/>
          <w:sz w:val="28"/>
          <w:szCs w:val="28"/>
        </w:rPr>
        <w:t xml:space="preserve">Michel </w:t>
      </w:r>
      <w:proofErr w:type="spellStart"/>
      <w:r>
        <w:rPr>
          <w:rFonts w:ascii="Times New Roman" w:hAnsi="Times New Roman" w:cs="Times New Roman"/>
          <w:sz w:val="28"/>
          <w:szCs w:val="28"/>
        </w:rPr>
        <w:t>Vernus</w:t>
      </w:r>
      <w:proofErr w:type="spellEnd"/>
    </w:p>
    <w:p w:rsidR="00754125" w:rsidRDefault="00754125" w:rsidP="00754125">
      <w:pPr>
        <w:snapToGrid w:val="0"/>
        <w:ind w:firstLine="1130"/>
        <w:jc w:val="both"/>
        <w:rPr>
          <w:rFonts w:ascii="Times New Roman" w:hAnsi="Times New Roman"/>
        </w:rPr>
      </w:pPr>
      <w:r>
        <w:rPr>
          <w:rFonts w:ascii="Times New Roman" w:hAnsi="Times New Roman" w:cs="Times New Roman"/>
          <w:sz w:val="28"/>
          <w:szCs w:val="28"/>
        </w:rPr>
        <w:t xml:space="preserve">Émile </w:t>
      </w:r>
      <w:proofErr w:type="spellStart"/>
      <w:r>
        <w:rPr>
          <w:rFonts w:ascii="Times New Roman" w:hAnsi="Times New Roman" w:cs="Times New Roman"/>
          <w:sz w:val="28"/>
          <w:szCs w:val="28"/>
        </w:rPr>
        <w:t>Richème</w:t>
      </w:r>
      <w:proofErr w:type="spellEnd"/>
      <w:r>
        <w:rPr>
          <w:rFonts w:ascii="Times New Roman" w:hAnsi="Times New Roman" w:cs="Times New Roman"/>
          <w:sz w:val="28"/>
          <w:szCs w:val="28"/>
        </w:rPr>
        <w:t xml:space="preserve"> (1920-1997), grand éleveur et Henri Maire (1917-2003) grand vigneron, sont deux personnalités, deux tempéraments jurassiens bien trempés. Au cours des Trente glorieuses, l’un et l’autre ont bousculé rudement dans le Jura des pratiques agricoles séculaires. Au grand scandale de certains. Ils ont écrit deux nouvelles pages de l’agriculture jurassienne, qu’il est possible aujourd’hui avec un peu de recul de prendre, loin de toute polémique, la mesure des nouveautés introduites. </w:t>
      </w:r>
    </w:p>
    <w:p w:rsidR="00E57CB2" w:rsidRDefault="00754125" w:rsidP="00E57CB2">
      <w:pPr>
        <w:snapToGrid w:val="0"/>
        <w:ind w:firstLine="1130"/>
        <w:jc w:val="both"/>
        <w:rPr>
          <w:rFonts w:ascii="Times New Roman" w:hAnsi="Times New Roman"/>
        </w:rPr>
      </w:pPr>
      <w:r>
        <w:rPr>
          <w:rFonts w:ascii="Times New Roman" w:hAnsi="Times New Roman" w:cs="Times New Roman"/>
          <w:sz w:val="28"/>
          <w:szCs w:val="28"/>
        </w:rPr>
        <w:t>En tout cas, il est certain qu’il s’agit de deux personnalités hors de l’ordinaire, qui ont créé chacune leur propre légende ; les suivre à la trace, c’est suivre deux aventures aux couleurs d’épopée. L’un a mis fin à la vielle écurie petite et calfeutrée, a développé l’insémination artificielle, préconisé la stabulation libre, milité pour la sélection linéaire et, finalement, a sauvegardé l’identité comtoise de la race bovine de la montbéliarde. L’autre a mis fin à la vieille cave poussiéreuse tendue de toiles d’araignées du vigneron jurassien. Il a créé un empire vitivinicole à l’américaine, démocratisé le vin de qualité grâce à un système original de vente à domicile, n’a pas hésité à faire de la « réclame » en diffusant une publicité abondante et innovante, a assuré la renommée mondiale des vins du petit vignoble jurassien fort mal en point à la sortie de la deuxième guerre mondiale. Ils laissent en héritage deux secteurs agricoles transformés, même si la fin de carrière pour l’un comme pour l’autre fut difficile.</w:t>
      </w:r>
    </w:p>
    <w:p w:rsidR="006C558F" w:rsidRDefault="00E57CB2" w:rsidP="00E57CB2">
      <w:pPr>
        <w:snapToGrid w:val="0"/>
        <w:ind w:firstLine="1130"/>
        <w:jc w:val="both"/>
        <w:rPr>
          <w:rFonts w:hint="eastAsia"/>
        </w:rPr>
      </w:pPr>
      <w:r>
        <w:rPr>
          <w:rFonts w:hint="eastAsia"/>
          <w:noProof/>
          <w14:ligatures w14:val="standardContextual"/>
        </w:rPr>
        <w:drawing>
          <wp:inline distT="0" distB="0" distL="0" distR="0">
            <wp:extent cx="3020037" cy="2373630"/>
            <wp:effectExtent l="0" t="0" r="3175" b="1270"/>
            <wp:docPr id="3284587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458704" name="Image 328458704"/>
                    <pic:cNvPicPr/>
                  </pic:nvPicPr>
                  <pic:blipFill>
                    <a:blip r:embed="rId4">
                      <a:extLst>
                        <a:ext uri="{28A0092B-C50C-407E-A947-70E740481C1C}">
                          <a14:useLocalDpi xmlns:a14="http://schemas.microsoft.com/office/drawing/2010/main" val="0"/>
                        </a:ext>
                      </a:extLst>
                    </a:blip>
                    <a:stretch>
                      <a:fillRect/>
                    </a:stretch>
                  </pic:blipFill>
                  <pic:spPr>
                    <a:xfrm>
                      <a:off x="0" y="0"/>
                      <a:ext cx="3105093" cy="2440481"/>
                    </a:xfrm>
                    <a:prstGeom prst="rect">
                      <a:avLst/>
                    </a:prstGeom>
                  </pic:spPr>
                </pic:pic>
              </a:graphicData>
            </a:graphic>
          </wp:inline>
        </w:drawing>
      </w:r>
      <w:r>
        <w:rPr>
          <w:rFonts w:hint="eastAsia"/>
          <w:noProof/>
          <w14:ligatures w14:val="standardContextual"/>
        </w:rPr>
        <w:drawing>
          <wp:inline distT="0" distB="0" distL="0" distR="0">
            <wp:extent cx="1903509" cy="2374547"/>
            <wp:effectExtent l="0" t="0" r="1905" b="635"/>
            <wp:docPr id="130018487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84875" name="Image 130018487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947" cy="2433724"/>
                    </a:xfrm>
                    <a:prstGeom prst="rect">
                      <a:avLst/>
                    </a:prstGeom>
                  </pic:spPr>
                </pic:pic>
              </a:graphicData>
            </a:graphic>
          </wp:inline>
        </w:drawing>
      </w:r>
    </w:p>
    <w:sectPr w:rsidR="006C558F" w:rsidSect="00E57CB2">
      <w:pgSz w:w="11900" w:h="16820"/>
      <w:pgMar w:top="1417" w:right="731" w:bottom="1417" w:left="104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0816BD"/>
    <w:rsid w:val="00330504"/>
    <w:rsid w:val="003A1B1A"/>
    <w:rsid w:val="004D093D"/>
    <w:rsid w:val="004D37D3"/>
    <w:rsid w:val="006C558F"/>
    <w:rsid w:val="00754125"/>
    <w:rsid w:val="00787D36"/>
    <w:rsid w:val="007D1B45"/>
    <w:rsid w:val="00836430"/>
    <w:rsid w:val="00856BD1"/>
    <w:rsid w:val="008A783D"/>
    <w:rsid w:val="00967270"/>
    <w:rsid w:val="00AF21D6"/>
    <w:rsid w:val="00E32108"/>
    <w:rsid w:val="00E57CB2"/>
    <w:rsid w:val="00E64122"/>
    <w:rsid w:val="00E644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5CB6"/>
  <w15:chartTrackingRefBased/>
  <w15:docId w15:val="{692A9863-CEB3-AA4B-AB15-61684CDC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125"/>
    <w:pPr>
      <w:suppressAutoHyphens/>
    </w:pPr>
    <w:rPr>
      <w:rFonts w:ascii="Liberation Serif" w:eastAsia="NSimSun" w:hAnsi="Liberation Serif" w:cs="Arial"/>
      <w:lang w:eastAsia="zh-CN" w:bidi="hi-IN"/>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250</Words>
  <Characters>1376</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brelot claude</dc:creator>
  <cp:keywords/>
  <dc:description/>
  <cp:lastModifiedBy>brelot claude</cp:lastModifiedBy>
  <cp:revision>4</cp:revision>
  <dcterms:created xsi:type="dcterms:W3CDTF">2023-11-12T13:30:00Z</dcterms:created>
  <dcterms:modified xsi:type="dcterms:W3CDTF">2023-11-12T14:13:00Z</dcterms:modified>
</cp:coreProperties>
</file>